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80E71" w14:textId="75478E42" w:rsidR="00A65F04" w:rsidRDefault="00A65F04" w:rsidP="0032626B">
      <w:pPr>
        <w:spacing w:after="0" w:line="240" w:lineRule="auto"/>
        <w:ind w:left="-540" w:right="-540"/>
        <w:rPr>
          <w:rFonts w:cs="Arial"/>
          <w:sz w:val="24"/>
          <w:szCs w:val="24"/>
        </w:rPr>
      </w:pPr>
      <w:r w:rsidRPr="006C715A">
        <w:rPr>
          <w:rFonts w:cs="Arial"/>
          <w:sz w:val="24"/>
          <w:szCs w:val="24"/>
        </w:rPr>
        <w:t xml:space="preserve">The primary investment objective of the </w:t>
      </w:r>
      <w:r w:rsidR="00B447D7">
        <w:rPr>
          <w:rFonts w:cs="Arial"/>
          <w:sz w:val="24"/>
          <w:szCs w:val="24"/>
        </w:rPr>
        <w:t>Community Foundation of Snohomish County</w:t>
      </w:r>
      <w:r w:rsidRPr="006C715A">
        <w:rPr>
          <w:rFonts w:cs="Arial"/>
          <w:sz w:val="24"/>
          <w:szCs w:val="24"/>
        </w:rPr>
        <w:t xml:space="preserve"> is to preserve the real value (inflation adjusted) of current assets and future gifts. </w:t>
      </w:r>
      <w:r w:rsidR="005A6C3E">
        <w:rPr>
          <w:rFonts w:cs="Arial"/>
          <w:sz w:val="24"/>
          <w:szCs w:val="24"/>
        </w:rPr>
        <w:t xml:space="preserve"> </w:t>
      </w:r>
      <w:r w:rsidRPr="006C715A">
        <w:rPr>
          <w:rFonts w:cs="Arial"/>
          <w:sz w:val="24"/>
          <w:szCs w:val="24"/>
        </w:rPr>
        <w:t xml:space="preserve">The Foundation manages its endowed and operational assets according to guidelines established by the Board of Directors and Finance Committee. </w:t>
      </w:r>
      <w:r>
        <w:rPr>
          <w:rFonts w:cs="Arial"/>
          <w:sz w:val="24"/>
          <w:szCs w:val="24"/>
        </w:rPr>
        <w:t xml:space="preserve">The </w:t>
      </w:r>
      <w:r w:rsidRPr="006C715A">
        <w:rPr>
          <w:rFonts w:cs="Arial"/>
          <w:sz w:val="24"/>
          <w:szCs w:val="24"/>
        </w:rPr>
        <w:t>allocation policy is designed to provide an optimal asset mix for the portfolio, emphasizing diversification in order to lower r</w:t>
      </w:r>
      <w:r>
        <w:rPr>
          <w:rFonts w:cs="Arial"/>
          <w:sz w:val="24"/>
          <w:szCs w:val="24"/>
        </w:rPr>
        <w:t>isk and maximize total return.</w:t>
      </w:r>
    </w:p>
    <w:p w14:paraId="0D6EEA95" w14:textId="77777777" w:rsidR="005B1582" w:rsidRDefault="005B1582" w:rsidP="0032626B">
      <w:pPr>
        <w:spacing w:after="0" w:line="240" w:lineRule="auto"/>
        <w:ind w:left="-540" w:right="-540"/>
        <w:rPr>
          <w:rFonts w:cs="Arial"/>
          <w:sz w:val="24"/>
          <w:szCs w:val="24"/>
        </w:rPr>
      </w:pPr>
    </w:p>
    <w:tbl>
      <w:tblPr>
        <w:tblStyle w:val="TableGrid"/>
        <w:tblW w:w="8100" w:type="dxa"/>
        <w:tblInd w:w="535" w:type="dxa"/>
        <w:tblLook w:val="04A0" w:firstRow="1" w:lastRow="0" w:firstColumn="1" w:lastColumn="0" w:noHBand="0" w:noVBand="1"/>
      </w:tblPr>
      <w:tblGrid>
        <w:gridCol w:w="2520"/>
        <w:gridCol w:w="1440"/>
        <w:gridCol w:w="1530"/>
        <w:gridCol w:w="2610"/>
      </w:tblGrid>
      <w:tr w:rsidR="005B1582" w:rsidRPr="005B1582" w14:paraId="283EED61" w14:textId="77777777" w:rsidTr="002E13CF">
        <w:tc>
          <w:tcPr>
            <w:tcW w:w="2520" w:type="dxa"/>
          </w:tcPr>
          <w:p w14:paraId="732A0E53" w14:textId="77777777" w:rsidR="005B1582" w:rsidRPr="005B1582" w:rsidRDefault="005B1582" w:rsidP="005B1582">
            <w:pPr>
              <w:ind w:right="-90"/>
              <w:jc w:val="center"/>
              <w:rPr>
                <w:rFonts w:ascii="Calibri" w:eastAsia="MS Mincho" w:hAnsi="Calibri"/>
              </w:rPr>
            </w:pPr>
            <w:r w:rsidRPr="005B1582">
              <w:rPr>
                <w:rFonts w:ascii="Calibri" w:eastAsia="MS Mincho" w:hAnsi="Calibri"/>
                <w:b/>
              </w:rPr>
              <w:t>ASSET CLASS</w:t>
            </w:r>
          </w:p>
        </w:tc>
        <w:tc>
          <w:tcPr>
            <w:tcW w:w="1440" w:type="dxa"/>
          </w:tcPr>
          <w:p w14:paraId="2F7468D6" w14:textId="77777777" w:rsidR="005B1582" w:rsidRPr="005B1582" w:rsidRDefault="005B1582" w:rsidP="005B1582">
            <w:pPr>
              <w:ind w:right="-90"/>
              <w:jc w:val="center"/>
              <w:rPr>
                <w:rFonts w:ascii="Calibri" w:eastAsia="MS Mincho" w:hAnsi="Calibri"/>
              </w:rPr>
            </w:pPr>
            <w:r w:rsidRPr="005B1582">
              <w:rPr>
                <w:rFonts w:ascii="Calibri" w:eastAsia="MS Mincho" w:hAnsi="Calibri"/>
                <w:b/>
              </w:rPr>
              <w:t>MINIMUM</w:t>
            </w:r>
          </w:p>
        </w:tc>
        <w:tc>
          <w:tcPr>
            <w:tcW w:w="1530" w:type="dxa"/>
          </w:tcPr>
          <w:p w14:paraId="1FE695C3" w14:textId="77777777" w:rsidR="005B1582" w:rsidRPr="005B1582" w:rsidRDefault="005B1582" w:rsidP="005B1582">
            <w:pPr>
              <w:ind w:right="-90"/>
              <w:jc w:val="center"/>
              <w:rPr>
                <w:rFonts w:ascii="Calibri" w:eastAsia="MS Mincho" w:hAnsi="Calibri"/>
              </w:rPr>
            </w:pPr>
            <w:r w:rsidRPr="005B1582">
              <w:rPr>
                <w:rFonts w:ascii="Calibri" w:eastAsia="MS Mincho" w:hAnsi="Calibri"/>
                <w:b/>
              </w:rPr>
              <w:t>MAXIMUM</w:t>
            </w:r>
          </w:p>
        </w:tc>
        <w:tc>
          <w:tcPr>
            <w:tcW w:w="2610" w:type="dxa"/>
          </w:tcPr>
          <w:p w14:paraId="6C0C2045" w14:textId="77777777" w:rsidR="005B1582" w:rsidRPr="005B1582" w:rsidRDefault="005B1582" w:rsidP="005B1582">
            <w:pPr>
              <w:ind w:right="-90"/>
              <w:jc w:val="center"/>
              <w:rPr>
                <w:rFonts w:ascii="Calibri" w:eastAsia="MS Mincho" w:hAnsi="Calibri"/>
              </w:rPr>
            </w:pPr>
            <w:r w:rsidRPr="005B1582">
              <w:rPr>
                <w:rFonts w:ascii="Calibri" w:eastAsia="MS Mincho" w:hAnsi="Calibri"/>
                <w:b/>
              </w:rPr>
              <w:t>BENCHMARK</w:t>
            </w:r>
          </w:p>
        </w:tc>
      </w:tr>
      <w:tr w:rsidR="005B1582" w:rsidRPr="005B1582" w14:paraId="2509E39B" w14:textId="77777777" w:rsidTr="002E13CF">
        <w:tc>
          <w:tcPr>
            <w:tcW w:w="2520" w:type="dxa"/>
          </w:tcPr>
          <w:p w14:paraId="112574E3" w14:textId="77777777" w:rsidR="005B1582" w:rsidRPr="005B1582" w:rsidRDefault="005B1582" w:rsidP="00CE419B">
            <w:pPr>
              <w:ind w:right="-90"/>
              <w:rPr>
                <w:rFonts w:ascii="Calibri" w:eastAsia="MS Mincho" w:hAnsi="Calibri"/>
              </w:rPr>
            </w:pPr>
            <w:r w:rsidRPr="005B1582">
              <w:rPr>
                <w:rFonts w:ascii="Calibri" w:eastAsia="MS Mincho" w:hAnsi="Calibri"/>
              </w:rPr>
              <w:t>U.S. Equity</w:t>
            </w:r>
          </w:p>
        </w:tc>
        <w:tc>
          <w:tcPr>
            <w:tcW w:w="1440" w:type="dxa"/>
          </w:tcPr>
          <w:p w14:paraId="6501E95A" w14:textId="77777777" w:rsidR="005B1582" w:rsidRPr="005B1582" w:rsidRDefault="005B1582" w:rsidP="00CE419B">
            <w:pPr>
              <w:ind w:right="-90"/>
              <w:rPr>
                <w:rFonts w:ascii="Calibri" w:eastAsia="MS Mincho" w:hAnsi="Calibri"/>
              </w:rPr>
            </w:pPr>
            <w:r w:rsidRPr="005B1582">
              <w:rPr>
                <w:rFonts w:ascii="Calibri" w:eastAsia="MS Mincho" w:hAnsi="Calibri"/>
              </w:rPr>
              <w:t>10%</w:t>
            </w:r>
          </w:p>
        </w:tc>
        <w:tc>
          <w:tcPr>
            <w:tcW w:w="1530" w:type="dxa"/>
          </w:tcPr>
          <w:p w14:paraId="15620714" w14:textId="77777777" w:rsidR="005B1582" w:rsidRPr="005B1582" w:rsidRDefault="005B1582" w:rsidP="00CE419B">
            <w:pPr>
              <w:ind w:right="-90"/>
              <w:rPr>
                <w:rFonts w:ascii="Calibri" w:eastAsia="MS Mincho" w:hAnsi="Calibri"/>
              </w:rPr>
            </w:pPr>
            <w:r w:rsidRPr="005B1582">
              <w:rPr>
                <w:rFonts w:ascii="Calibri" w:eastAsia="MS Mincho" w:hAnsi="Calibri"/>
              </w:rPr>
              <w:t>60%</w:t>
            </w:r>
          </w:p>
        </w:tc>
        <w:tc>
          <w:tcPr>
            <w:tcW w:w="2610" w:type="dxa"/>
          </w:tcPr>
          <w:p w14:paraId="6CB63486" w14:textId="77777777" w:rsidR="005B1582" w:rsidRPr="005B1582" w:rsidRDefault="005B1582" w:rsidP="00CE419B">
            <w:pPr>
              <w:ind w:right="-90"/>
              <w:rPr>
                <w:rFonts w:ascii="Calibri" w:eastAsia="MS Mincho" w:hAnsi="Calibri"/>
              </w:rPr>
            </w:pPr>
            <w:r w:rsidRPr="005B1582">
              <w:rPr>
                <w:rFonts w:ascii="Calibri" w:eastAsia="MS Mincho" w:hAnsi="Calibri"/>
              </w:rPr>
              <w:t>Russell 3000</w:t>
            </w:r>
          </w:p>
        </w:tc>
      </w:tr>
      <w:tr w:rsidR="005B1582" w:rsidRPr="005B1582" w14:paraId="3B27F42C" w14:textId="77777777" w:rsidTr="002E13CF">
        <w:tc>
          <w:tcPr>
            <w:tcW w:w="2520" w:type="dxa"/>
          </w:tcPr>
          <w:p w14:paraId="076D6C95" w14:textId="77777777" w:rsidR="005B1582" w:rsidRPr="005B1582" w:rsidRDefault="005B1582" w:rsidP="00CE419B">
            <w:pPr>
              <w:ind w:right="-90"/>
              <w:rPr>
                <w:rFonts w:ascii="Calibri" w:eastAsia="MS Mincho" w:hAnsi="Calibri"/>
              </w:rPr>
            </w:pPr>
            <w:r w:rsidRPr="005B1582">
              <w:rPr>
                <w:rFonts w:ascii="Calibri" w:eastAsia="MS Mincho" w:hAnsi="Calibri"/>
              </w:rPr>
              <w:t>International Equity</w:t>
            </w:r>
          </w:p>
        </w:tc>
        <w:tc>
          <w:tcPr>
            <w:tcW w:w="1440" w:type="dxa"/>
          </w:tcPr>
          <w:p w14:paraId="0BEB373F" w14:textId="77777777" w:rsidR="005B1582" w:rsidRPr="005B1582" w:rsidRDefault="005B1582" w:rsidP="00CE419B">
            <w:pPr>
              <w:ind w:right="-90"/>
              <w:rPr>
                <w:rFonts w:ascii="Calibri" w:eastAsia="MS Mincho" w:hAnsi="Calibri"/>
              </w:rPr>
            </w:pPr>
            <w:r w:rsidRPr="005B1582">
              <w:rPr>
                <w:rFonts w:ascii="Calibri" w:eastAsia="MS Mincho" w:hAnsi="Calibri"/>
              </w:rPr>
              <w:t>10%</w:t>
            </w:r>
          </w:p>
        </w:tc>
        <w:tc>
          <w:tcPr>
            <w:tcW w:w="1530" w:type="dxa"/>
          </w:tcPr>
          <w:p w14:paraId="59B31851" w14:textId="77777777" w:rsidR="005B1582" w:rsidRPr="005B1582" w:rsidRDefault="005B1582" w:rsidP="00CE419B">
            <w:pPr>
              <w:ind w:right="-90"/>
              <w:rPr>
                <w:rFonts w:ascii="Calibri" w:eastAsia="MS Mincho" w:hAnsi="Calibri"/>
              </w:rPr>
            </w:pPr>
            <w:r w:rsidRPr="005B1582">
              <w:rPr>
                <w:rFonts w:ascii="Calibri" w:eastAsia="MS Mincho" w:hAnsi="Calibri"/>
              </w:rPr>
              <w:t>30%</w:t>
            </w:r>
          </w:p>
        </w:tc>
        <w:tc>
          <w:tcPr>
            <w:tcW w:w="2610" w:type="dxa"/>
          </w:tcPr>
          <w:p w14:paraId="46B8D09D" w14:textId="77777777" w:rsidR="005B1582" w:rsidRPr="005B1582" w:rsidRDefault="005B1582" w:rsidP="00CE419B">
            <w:pPr>
              <w:ind w:right="-90"/>
              <w:rPr>
                <w:rFonts w:ascii="Calibri" w:eastAsia="MS Mincho" w:hAnsi="Calibri"/>
              </w:rPr>
            </w:pPr>
            <w:r w:rsidRPr="005B1582">
              <w:rPr>
                <w:rFonts w:ascii="Calibri" w:eastAsia="MS Mincho" w:hAnsi="Calibri"/>
              </w:rPr>
              <w:t>ACWI ex US IMI</w:t>
            </w:r>
          </w:p>
        </w:tc>
      </w:tr>
      <w:tr w:rsidR="005B1582" w:rsidRPr="005B1582" w14:paraId="000DF444" w14:textId="77777777" w:rsidTr="002E13CF">
        <w:tc>
          <w:tcPr>
            <w:tcW w:w="2520" w:type="dxa"/>
          </w:tcPr>
          <w:p w14:paraId="06CF0D5C" w14:textId="77777777" w:rsidR="005B1582" w:rsidRPr="005B1582" w:rsidRDefault="005B1582" w:rsidP="00CE419B">
            <w:pPr>
              <w:ind w:right="-90"/>
              <w:rPr>
                <w:rFonts w:ascii="Calibri" w:eastAsia="MS Mincho" w:hAnsi="Calibri"/>
              </w:rPr>
            </w:pPr>
            <w:r w:rsidRPr="005B1582">
              <w:rPr>
                <w:rFonts w:ascii="Calibri" w:eastAsia="MS Mincho" w:hAnsi="Calibri"/>
              </w:rPr>
              <w:t>Alternative Investments</w:t>
            </w:r>
          </w:p>
        </w:tc>
        <w:tc>
          <w:tcPr>
            <w:tcW w:w="1440" w:type="dxa"/>
          </w:tcPr>
          <w:p w14:paraId="50403FF0" w14:textId="77777777" w:rsidR="005B1582" w:rsidRPr="005B1582" w:rsidRDefault="005B1582" w:rsidP="00CE419B">
            <w:pPr>
              <w:ind w:right="-90"/>
              <w:rPr>
                <w:rFonts w:ascii="Calibri" w:eastAsia="MS Mincho" w:hAnsi="Calibri"/>
              </w:rPr>
            </w:pPr>
            <w:r w:rsidRPr="005B1582">
              <w:rPr>
                <w:rFonts w:ascii="Calibri" w:eastAsia="MS Mincho" w:hAnsi="Calibri"/>
              </w:rPr>
              <w:t xml:space="preserve">  0%</w:t>
            </w:r>
          </w:p>
        </w:tc>
        <w:tc>
          <w:tcPr>
            <w:tcW w:w="1530" w:type="dxa"/>
          </w:tcPr>
          <w:p w14:paraId="4BE1B8E5" w14:textId="77777777" w:rsidR="005B1582" w:rsidRPr="005B1582" w:rsidRDefault="005B1582" w:rsidP="00CE419B">
            <w:pPr>
              <w:ind w:right="-90"/>
              <w:rPr>
                <w:rFonts w:ascii="Calibri" w:eastAsia="MS Mincho" w:hAnsi="Calibri"/>
              </w:rPr>
            </w:pPr>
            <w:r w:rsidRPr="005B1582">
              <w:rPr>
                <w:rFonts w:ascii="Calibri" w:eastAsia="MS Mincho" w:hAnsi="Calibri"/>
              </w:rPr>
              <w:t>15%</w:t>
            </w:r>
          </w:p>
        </w:tc>
        <w:tc>
          <w:tcPr>
            <w:tcW w:w="2610" w:type="dxa"/>
          </w:tcPr>
          <w:p w14:paraId="2D7F19CF" w14:textId="77777777" w:rsidR="005B1582" w:rsidRPr="005B1582" w:rsidRDefault="005B1582" w:rsidP="00CE419B">
            <w:pPr>
              <w:ind w:right="-90"/>
              <w:rPr>
                <w:rFonts w:ascii="Calibri" w:eastAsia="MS Mincho" w:hAnsi="Calibri"/>
              </w:rPr>
            </w:pPr>
            <w:r w:rsidRPr="005B1582">
              <w:rPr>
                <w:rFonts w:ascii="Calibri" w:eastAsia="MS Mincho" w:hAnsi="Calibri"/>
              </w:rPr>
              <w:t>Lipper Alt Multi Strategy</w:t>
            </w:r>
          </w:p>
        </w:tc>
      </w:tr>
      <w:tr w:rsidR="005B1582" w:rsidRPr="005B1582" w14:paraId="518C4B15" w14:textId="77777777" w:rsidTr="002E13CF">
        <w:tc>
          <w:tcPr>
            <w:tcW w:w="2520" w:type="dxa"/>
          </w:tcPr>
          <w:p w14:paraId="326094EB" w14:textId="77777777" w:rsidR="005B1582" w:rsidRPr="005B1582" w:rsidRDefault="005B1582" w:rsidP="00CE419B">
            <w:pPr>
              <w:ind w:right="-90"/>
              <w:rPr>
                <w:rFonts w:ascii="Calibri" w:eastAsia="MS Mincho" w:hAnsi="Calibri"/>
              </w:rPr>
            </w:pPr>
            <w:r w:rsidRPr="005B1582">
              <w:rPr>
                <w:rFonts w:ascii="Calibri" w:eastAsia="MS Mincho" w:hAnsi="Calibri"/>
              </w:rPr>
              <w:t>Fixed Income/Cash</w:t>
            </w:r>
          </w:p>
        </w:tc>
        <w:tc>
          <w:tcPr>
            <w:tcW w:w="1440" w:type="dxa"/>
          </w:tcPr>
          <w:p w14:paraId="3E3DC866" w14:textId="77777777" w:rsidR="005B1582" w:rsidRPr="005B1582" w:rsidRDefault="005B1582" w:rsidP="00CE419B">
            <w:pPr>
              <w:ind w:right="-90"/>
              <w:rPr>
                <w:rFonts w:ascii="Calibri" w:eastAsia="MS Mincho" w:hAnsi="Calibri"/>
              </w:rPr>
            </w:pPr>
            <w:r w:rsidRPr="005B1582">
              <w:rPr>
                <w:rFonts w:ascii="Calibri" w:eastAsia="MS Mincho" w:hAnsi="Calibri"/>
              </w:rPr>
              <w:t>15%</w:t>
            </w:r>
          </w:p>
        </w:tc>
        <w:tc>
          <w:tcPr>
            <w:tcW w:w="1530" w:type="dxa"/>
          </w:tcPr>
          <w:p w14:paraId="633DCE0A" w14:textId="77777777" w:rsidR="005B1582" w:rsidRPr="005B1582" w:rsidRDefault="005B1582" w:rsidP="00CE419B">
            <w:pPr>
              <w:ind w:right="-90"/>
              <w:rPr>
                <w:rFonts w:ascii="Calibri" w:eastAsia="MS Mincho" w:hAnsi="Calibri"/>
              </w:rPr>
            </w:pPr>
            <w:r w:rsidRPr="005B1582">
              <w:rPr>
                <w:rFonts w:ascii="Calibri" w:eastAsia="MS Mincho" w:hAnsi="Calibri"/>
              </w:rPr>
              <w:t>60%</w:t>
            </w:r>
          </w:p>
        </w:tc>
        <w:tc>
          <w:tcPr>
            <w:tcW w:w="2610" w:type="dxa"/>
          </w:tcPr>
          <w:p w14:paraId="55163F6E" w14:textId="77777777" w:rsidR="005B1582" w:rsidRPr="005B1582" w:rsidRDefault="005B1582" w:rsidP="00CE419B">
            <w:pPr>
              <w:ind w:right="-90"/>
              <w:rPr>
                <w:rFonts w:ascii="Calibri" w:eastAsia="MS Mincho" w:hAnsi="Calibri"/>
              </w:rPr>
            </w:pPr>
            <w:r w:rsidRPr="005B1582">
              <w:rPr>
                <w:rFonts w:ascii="Calibri" w:eastAsia="MS Mincho" w:hAnsi="Calibri"/>
              </w:rPr>
              <w:t>Barclays Aggregate</w:t>
            </w:r>
          </w:p>
        </w:tc>
      </w:tr>
    </w:tbl>
    <w:p w14:paraId="0E294298" w14:textId="77777777" w:rsidR="005B1582" w:rsidRDefault="005B1582" w:rsidP="0032626B">
      <w:pPr>
        <w:spacing w:after="0" w:line="240" w:lineRule="auto"/>
        <w:ind w:left="-540" w:right="-540"/>
        <w:rPr>
          <w:rFonts w:cs="Arial"/>
          <w:sz w:val="24"/>
          <w:szCs w:val="24"/>
        </w:rPr>
      </w:pPr>
    </w:p>
    <w:p w14:paraId="5FEC6C27" w14:textId="77777777" w:rsidR="00A65F04" w:rsidRPr="000250E6" w:rsidRDefault="00A65F04" w:rsidP="0032626B">
      <w:pPr>
        <w:spacing w:after="0" w:line="240" w:lineRule="auto"/>
        <w:ind w:left="-540" w:right="-540"/>
        <w:rPr>
          <w:rFonts w:cs="Arial"/>
          <w:sz w:val="16"/>
          <w:szCs w:val="16"/>
        </w:rPr>
      </w:pPr>
    </w:p>
    <w:p w14:paraId="0BFDF115" w14:textId="6649E3DB" w:rsidR="00A65F04" w:rsidRDefault="00A65F04" w:rsidP="0032626B">
      <w:pPr>
        <w:spacing w:after="0" w:line="240" w:lineRule="auto"/>
        <w:ind w:left="-540" w:right="-540"/>
        <w:rPr>
          <w:rFonts w:cs="Arial"/>
          <w:sz w:val="24"/>
          <w:szCs w:val="24"/>
        </w:rPr>
      </w:pPr>
      <w:r w:rsidRPr="006C715A">
        <w:rPr>
          <w:rFonts w:cs="Arial"/>
          <w:sz w:val="24"/>
          <w:szCs w:val="24"/>
        </w:rPr>
        <w:t>The Foundation’s investment goal is to earn, through a combination of appreciation and income, an annual re</w:t>
      </w:r>
      <w:r w:rsidR="001A2F4E">
        <w:rPr>
          <w:rFonts w:cs="Arial"/>
          <w:sz w:val="24"/>
          <w:szCs w:val="24"/>
        </w:rPr>
        <w:t>turn net of fees of at least 6 - 8</w:t>
      </w:r>
      <w:r w:rsidRPr="006C715A">
        <w:rPr>
          <w:rFonts w:cs="Arial"/>
          <w:sz w:val="24"/>
          <w:szCs w:val="24"/>
        </w:rPr>
        <w:t xml:space="preserve">%. </w:t>
      </w:r>
      <w:r w:rsidR="005A6C3E" w:rsidRPr="00592D86">
        <w:rPr>
          <w:rFonts w:cs="Arial"/>
          <w:b/>
          <w:sz w:val="24"/>
          <w:szCs w:val="24"/>
        </w:rPr>
        <w:t xml:space="preserve">Our average rate of return since </w:t>
      </w:r>
      <w:r w:rsidR="0023654E" w:rsidRPr="00592D86">
        <w:rPr>
          <w:rFonts w:cs="Arial"/>
          <w:b/>
          <w:sz w:val="24"/>
          <w:szCs w:val="24"/>
        </w:rPr>
        <w:t>20</w:t>
      </w:r>
      <w:r w:rsidR="00284AE5">
        <w:rPr>
          <w:rFonts w:cs="Arial"/>
          <w:b/>
          <w:sz w:val="24"/>
          <w:szCs w:val="24"/>
        </w:rPr>
        <w:t>1</w:t>
      </w:r>
      <w:r w:rsidR="00A34C5A">
        <w:rPr>
          <w:rFonts w:cs="Arial"/>
          <w:b/>
          <w:sz w:val="24"/>
          <w:szCs w:val="24"/>
        </w:rPr>
        <w:t>3</w:t>
      </w:r>
      <w:r w:rsidR="0023654E" w:rsidRPr="00592D86">
        <w:rPr>
          <w:rFonts w:cs="Arial"/>
          <w:b/>
          <w:sz w:val="24"/>
          <w:szCs w:val="24"/>
        </w:rPr>
        <w:t xml:space="preserve"> is </w:t>
      </w:r>
      <w:r w:rsidR="005B13FE">
        <w:rPr>
          <w:rFonts w:cs="Arial"/>
          <w:b/>
          <w:sz w:val="24"/>
          <w:szCs w:val="24"/>
        </w:rPr>
        <w:t>7.76</w:t>
      </w:r>
      <w:r w:rsidR="005A6C3E" w:rsidRPr="00592D86">
        <w:rPr>
          <w:rFonts w:cs="Arial"/>
          <w:b/>
          <w:sz w:val="24"/>
          <w:szCs w:val="24"/>
        </w:rPr>
        <w:t>%.</w:t>
      </w:r>
    </w:p>
    <w:p w14:paraId="28166F19" w14:textId="77777777" w:rsidR="005B1582" w:rsidRDefault="005B1582" w:rsidP="0032626B">
      <w:pPr>
        <w:spacing w:after="0" w:line="240" w:lineRule="auto"/>
        <w:ind w:left="-540" w:right="-540"/>
        <w:rPr>
          <w:rFonts w:cs="Arial"/>
          <w:sz w:val="24"/>
          <w:szCs w:val="24"/>
        </w:rPr>
      </w:pPr>
    </w:p>
    <w:p w14:paraId="7FB0DBF5" w14:textId="77777777" w:rsidR="00A65F04" w:rsidRPr="009926D7" w:rsidRDefault="00A65F04" w:rsidP="0032626B">
      <w:pPr>
        <w:spacing w:after="0" w:line="240" w:lineRule="auto"/>
        <w:ind w:left="-540" w:right="-540"/>
        <w:rPr>
          <w:rFonts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2"/>
        <w:gridCol w:w="2415"/>
      </w:tblGrid>
      <w:tr w:rsidR="00A65F04" w:rsidRPr="006C715A" w14:paraId="51FA5BE4" w14:textId="77777777" w:rsidTr="00977915">
        <w:trPr>
          <w:trHeight w:val="144"/>
          <w:jc w:val="center"/>
        </w:trPr>
        <w:tc>
          <w:tcPr>
            <w:tcW w:w="2312" w:type="dxa"/>
          </w:tcPr>
          <w:p w14:paraId="3EF349F4" w14:textId="77777777" w:rsidR="00A65F04" w:rsidRPr="006C715A" w:rsidRDefault="00A65F04" w:rsidP="0032626B">
            <w:pPr>
              <w:spacing w:after="0" w:line="240" w:lineRule="auto"/>
              <w:ind w:left="-540" w:right="-540"/>
              <w:jc w:val="center"/>
              <w:rPr>
                <w:rFonts w:cs="Arial"/>
                <w:b/>
                <w:sz w:val="24"/>
                <w:szCs w:val="24"/>
              </w:rPr>
            </w:pPr>
            <w:r w:rsidRPr="006C715A">
              <w:rPr>
                <w:rFonts w:cs="Arial"/>
                <w:b/>
                <w:sz w:val="24"/>
                <w:szCs w:val="24"/>
              </w:rPr>
              <w:t>Year</w:t>
            </w:r>
          </w:p>
        </w:tc>
        <w:tc>
          <w:tcPr>
            <w:tcW w:w="2415" w:type="dxa"/>
          </w:tcPr>
          <w:p w14:paraId="1668EA8A" w14:textId="77777777" w:rsidR="00A65F04" w:rsidRPr="006C715A" w:rsidRDefault="00A65F04" w:rsidP="0032626B">
            <w:pPr>
              <w:spacing w:after="0" w:line="240" w:lineRule="auto"/>
              <w:ind w:left="-540" w:right="-540"/>
              <w:jc w:val="center"/>
              <w:rPr>
                <w:rFonts w:cs="Arial"/>
                <w:b/>
                <w:sz w:val="24"/>
                <w:szCs w:val="24"/>
              </w:rPr>
            </w:pPr>
            <w:r w:rsidRPr="006C715A">
              <w:rPr>
                <w:rFonts w:cs="Arial"/>
                <w:b/>
                <w:sz w:val="24"/>
                <w:szCs w:val="24"/>
              </w:rPr>
              <w:t xml:space="preserve">Rate of Return </w:t>
            </w:r>
            <w:r w:rsidRPr="006C715A">
              <w:rPr>
                <w:rFonts w:cs="Arial"/>
                <w:sz w:val="24"/>
                <w:szCs w:val="24"/>
              </w:rPr>
              <w:t>(gross)</w:t>
            </w:r>
          </w:p>
        </w:tc>
      </w:tr>
      <w:tr w:rsidR="005E05B3" w:rsidRPr="006C715A" w14:paraId="23C2C8C4" w14:textId="77777777" w:rsidTr="00977915">
        <w:trPr>
          <w:trHeight w:val="144"/>
          <w:jc w:val="center"/>
        </w:trPr>
        <w:tc>
          <w:tcPr>
            <w:tcW w:w="2312" w:type="dxa"/>
          </w:tcPr>
          <w:p w14:paraId="0CA416AB" w14:textId="5D568B09" w:rsidR="005E05B3" w:rsidRDefault="00DC050B" w:rsidP="0032626B">
            <w:pPr>
              <w:spacing w:after="0" w:line="240" w:lineRule="auto"/>
              <w:ind w:left="-540" w:right="-540"/>
              <w:jc w:val="center"/>
              <w:rPr>
                <w:rFonts w:cs="Arial"/>
              </w:rPr>
            </w:pPr>
            <w:r>
              <w:rPr>
                <w:rFonts w:cs="Arial"/>
              </w:rPr>
              <w:t>2022</w:t>
            </w:r>
          </w:p>
        </w:tc>
        <w:tc>
          <w:tcPr>
            <w:tcW w:w="2415" w:type="dxa"/>
          </w:tcPr>
          <w:p w14:paraId="0E0653A0" w14:textId="6DC75B8F" w:rsidR="005E05B3" w:rsidRDefault="00DC050B" w:rsidP="0032626B">
            <w:pPr>
              <w:spacing w:after="0" w:line="240" w:lineRule="auto"/>
              <w:ind w:left="-540" w:right="-540"/>
              <w:jc w:val="center"/>
              <w:rPr>
                <w:rFonts w:cs="Arial"/>
              </w:rPr>
            </w:pPr>
            <w:r>
              <w:rPr>
                <w:rFonts w:cs="Arial"/>
              </w:rPr>
              <w:t>-8.67</w:t>
            </w:r>
            <w:r w:rsidR="009E0860">
              <w:rPr>
                <w:rFonts w:cs="Arial"/>
              </w:rPr>
              <w:t>%</w:t>
            </w:r>
          </w:p>
        </w:tc>
      </w:tr>
      <w:tr w:rsidR="00DC050B" w:rsidRPr="006C715A" w14:paraId="28E83293" w14:textId="77777777" w:rsidTr="00977915">
        <w:trPr>
          <w:trHeight w:val="144"/>
          <w:jc w:val="center"/>
        </w:trPr>
        <w:tc>
          <w:tcPr>
            <w:tcW w:w="2312" w:type="dxa"/>
          </w:tcPr>
          <w:p w14:paraId="029CBE0E" w14:textId="212A8561" w:rsidR="00DC050B" w:rsidRDefault="00DC050B" w:rsidP="00DC050B">
            <w:pPr>
              <w:spacing w:after="0" w:line="240" w:lineRule="auto"/>
              <w:ind w:left="-540" w:right="-540"/>
              <w:jc w:val="center"/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2415" w:type="dxa"/>
          </w:tcPr>
          <w:p w14:paraId="5233D110" w14:textId="774BAE28" w:rsidR="00DC050B" w:rsidRDefault="00DC050B" w:rsidP="00DC050B">
            <w:pPr>
              <w:spacing w:after="0" w:line="240" w:lineRule="auto"/>
              <w:ind w:left="-540" w:right="-540"/>
              <w:jc w:val="center"/>
              <w:rPr>
                <w:rFonts w:cs="Arial"/>
              </w:rPr>
            </w:pPr>
            <w:r>
              <w:rPr>
                <w:rFonts w:cs="Arial"/>
              </w:rPr>
              <w:t>13.22%</w:t>
            </w:r>
          </w:p>
        </w:tc>
      </w:tr>
      <w:tr w:rsidR="00DC050B" w:rsidRPr="006C715A" w14:paraId="6A3B4F63" w14:textId="77777777" w:rsidTr="00977915">
        <w:trPr>
          <w:trHeight w:val="144"/>
          <w:jc w:val="center"/>
        </w:trPr>
        <w:tc>
          <w:tcPr>
            <w:tcW w:w="2312" w:type="dxa"/>
          </w:tcPr>
          <w:p w14:paraId="6EE90120" w14:textId="2D651F28" w:rsidR="00DC050B" w:rsidRDefault="00DC050B" w:rsidP="00DC050B">
            <w:pPr>
              <w:spacing w:after="0" w:line="240" w:lineRule="auto"/>
              <w:ind w:left="-540" w:right="-540"/>
              <w:jc w:val="center"/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2415" w:type="dxa"/>
          </w:tcPr>
          <w:p w14:paraId="7BDD0CA7" w14:textId="1B69074B" w:rsidR="00DC050B" w:rsidRDefault="00DC050B" w:rsidP="00DC050B">
            <w:pPr>
              <w:spacing w:after="0" w:line="240" w:lineRule="auto"/>
              <w:ind w:left="-540" w:right="-540"/>
              <w:jc w:val="center"/>
              <w:rPr>
                <w:rFonts w:cs="Arial"/>
              </w:rPr>
            </w:pPr>
            <w:r>
              <w:rPr>
                <w:rFonts w:cs="Arial"/>
              </w:rPr>
              <w:t>13.26%</w:t>
            </w:r>
          </w:p>
        </w:tc>
      </w:tr>
      <w:tr w:rsidR="00DC050B" w:rsidRPr="006C715A" w14:paraId="55265721" w14:textId="77777777" w:rsidTr="00977915">
        <w:trPr>
          <w:trHeight w:val="144"/>
          <w:jc w:val="center"/>
        </w:trPr>
        <w:tc>
          <w:tcPr>
            <w:tcW w:w="2312" w:type="dxa"/>
          </w:tcPr>
          <w:p w14:paraId="00617863" w14:textId="27497FD8" w:rsidR="00DC050B" w:rsidRDefault="00DC050B" w:rsidP="00DC050B">
            <w:pPr>
              <w:spacing w:after="0" w:line="240" w:lineRule="auto"/>
              <w:ind w:left="-540" w:right="-540"/>
              <w:jc w:val="center"/>
              <w:rPr>
                <w:rFonts w:cs="Arial"/>
              </w:rPr>
            </w:pPr>
            <w:r>
              <w:rPr>
                <w:rFonts w:cs="Arial"/>
              </w:rPr>
              <w:t>2019</w:t>
            </w:r>
          </w:p>
        </w:tc>
        <w:tc>
          <w:tcPr>
            <w:tcW w:w="2415" w:type="dxa"/>
          </w:tcPr>
          <w:p w14:paraId="36542543" w14:textId="49BA52C4" w:rsidR="00DC050B" w:rsidRDefault="00DC050B" w:rsidP="00DC050B">
            <w:pPr>
              <w:spacing w:after="0" w:line="240" w:lineRule="auto"/>
              <w:ind w:left="-540" w:right="-540"/>
              <w:jc w:val="center"/>
              <w:rPr>
                <w:rFonts w:cs="Arial"/>
              </w:rPr>
            </w:pPr>
            <w:r>
              <w:rPr>
                <w:rFonts w:cs="Arial"/>
              </w:rPr>
              <w:t>19.74%</w:t>
            </w:r>
          </w:p>
        </w:tc>
      </w:tr>
      <w:tr w:rsidR="00DC050B" w:rsidRPr="006C715A" w14:paraId="59F265C7" w14:textId="77777777" w:rsidTr="00977915">
        <w:trPr>
          <w:trHeight w:val="144"/>
          <w:jc w:val="center"/>
        </w:trPr>
        <w:tc>
          <w:tcPr>
            <w:tcW w:w="2312" w:type="dxa"/>
          </w:tcPr>
          <w:p w14:paraId="3AE96268" w14:textId="0C06061E" w:rsidR="00DC050B" w:rsidRDefault="00DC050B" w:rsidP="00DC050B">
            <w:pPr>
              <w:spacing w:after="0" w:line="240" w:lineRule="auto"/>
              <w:ind w:left="-540" w:right="-540"/>
              <w:jc w:val="center"/>
              <w:rPr>
                <w:rFonts w:cs="Arial"/>
              </w:rPr>
            </w:pPr>
            <w:r>
              <w:rPr>
                <w:rFonts w:cs="Arial"/>
              </w:rPr>
              <w:t>2018</w:t>
            </w:r>
          </w:p>
        </w:tc>
        <w:tc>
          <w:tcPr>
            <w:tcW w:w="2415" w:type="dxa"/>
          </w:tcPr>
          <w:p w14:paraId="26710C52" w14:textId="5E25695D" w:rsidR="00DC050B" w:rsidRDefault="00DC050B" w:rsidP="00DC050B">
            <w:pPr>
              <w:spacing w:after="0" w:line="240" w:lineRule="auto"/>
              <w:ind w:left="-540" w:right="-540"/>
              <w:jc w:val="center"/>
              <w:rPr>
                <w:rFonts w:cs="Arial"/>
              </w:rPr>
            </w:pPr>
            <w:r>
              <w:rPr>
                <w:rFonts w:cs="Arial"/>
              </w:rPr>
              <w:t>-4.36%</w:t>
            </w:r>
          </w:p>
        </w:tc>
      </w:tr>
      <w:tr w:rsidR="00DC050B" w:rsidRPr="006C715A" w14:paraId="577A6BCA" w14:textId="77777777" w:rsidTr="00977915">
        <w:trPr>
          <w:trHeight w:val="144"/>
          <w:jc w:val="center"/>
        </w:trPr>
        <w:tc>
          <w:tcPr>
            <w:tcW w:w="2312" w:type="dxa"/>
          </w:tcPr>
          <w:p w14:paraId="433761C7" w14:textId="5C480507" w:rsidR="00DC050B" w:rsidRDefault="00DC050B" w:rsidP="00DC050B">
            <w:pPr>
              <w:spacing w:after="0" w:line="240" w:lineRule="auto"/>
              <w:ind w:left="-540" w:right="-540"/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2415" w:type="dxa"/>
          </w:tcPr>
          <w:p w14:paraId="3EAEEB01" w14:textId="51F5BB21" w:rsidR="00DC050B" w:rsidRDefault="00DC050B" w:rsidP="00DC050B">
            <w:pPr>
              <w:spacing w:after="0" w:line="240" w:lineRule="auto"/>
              <w:ind w:left="-540" w:right="-540"/>
              <w:jc w:val="center"/>
              <w:rPr>
                <w:rFonts w:cs="Arial"/>
              </w:rPr>
            </w:pPr>
            <w:r>
              <w:rPr>
                <w:rFonts w:cs="Arial"/>
              </w:rPr>
              <w:t>13.65%</w:t>
            </w:r>
          </w:p>
        </w:tc>
      </w:tr>
      <w:tr w:rsidR="00DC050B" w:rsidRPr="006C715A" w14:paraId="37E259AE" w14:textId="77777777" w:rsidTr="00977915">
        <w:trPr>
          <w:trHeight w:val="144"/>
          <w:jc w:val="center"/>
        </w:trPr>
        <w:tc>
          <w:tcPr>
            <w:tcW w:w="2312" w:type="dxa"/>
          </w:tcPr>
          <w:p w14:paraId="0E8609D7" w14:textId="5B18B5CE" w:rsidR="00DC050B" w:rsidRPr="004F3D06" w:rsidRDefault="00DC050B" w:rsidP="00DC050B">
            <w:pPr>
              <w:spacing w:after="0" w:line="240" w:lineRule="auto"/>
              <w:ind w:left="-540" w:right="-540"/>
              <w:jc w:val="center"/>
              <w:rPr>
                <w:rFonts w:cs="Arial"/>
              </w:rPr>
            </w:pPr>
            <w:r>
              <w:rPr>
                <w:rFonts w:cs="Arial"/>
              </w:rPr>
              <w:t>2016</w:t>
            </w:r>
          </w:p>
        </w:tc>
        <w:tc>
          <w:tcPr>
            <w:tcW w:w="2415" w:type="dxa"/>
          </w:tcPr>
          <w:p w14:paraId="47342E55" w14:textId="5E03915A" w:rsidR="00DC050B" w:rsidRPr="004F3D06" w:rsidRDefault="00DC050B" w:rsidP="00DC050B">
            <w:pPr>
              <w:spacing w:after="0" w:line="240" w:lineRule="auto"/>
              <w:ind w:left="-540" w:right="-540"/>
              <w:jc w:val="center"/>
              <w:rPr>
                <w:rFonts w:cs="Arial"/>
              </w:rPr>
            </w:pPr>
            <w:r>
              <w:rPr>
                <w:rFonts w:cs="Arial"/>
              </w:rPr>
              <w:t>7.75%</w:t>
            </w:r>
          </w:p>
        </w:tc>
      </w:tr>
      <w:tr w:rsidR="00DC050B" w:rsidRPr="006C715A" w14:paraId="4FC2AE46" w14:textId="77777777" w:rsidTr="00977915">
        <w:trPr>
          <w:trHeight w:val="144"/>
          <w:jc w:val="center"/>
        </w:trPr>
        <w:tc>
          <w:tcPr>
            <w:tcW w:w="2312" w:type="dxa"/>
          </w:tcPr>
          <w:p w14:paraId="01974A25" w14:textId="49EC0AA7" w:rsidR="00DC050B" w:rsidRPr="004F3D06" w:rsidRDefault="00DC050B" w:rsidP="00DC050B">
            <w:pPr>
              <w:spacing w:after="0" w:line="240" w:lineRule="auto"/>
              <w:ind w:left="-540" w:right="-540"/>
              <w:jc w:val="center"/>
              <w:rPr>
                <w:rFonts w:cs="Arial"/>
              </w:rPr>
            </w:pPr>
            <w:r>
              <w:rPr>
                <w:rFonts w:cs="Arial"/>
              </w:rPr>
              <w:t>2015</w:t>
            </w:r>
          </w:p>
        </w:tc>
        <w:tc>
          <w:tcPr>
            <w:tcW w:w="2415" w:type="dxa"/>
          </w:tcPr>
          <w:p w14:paraId="2404306E" w14:textId="7F618427" w:rsidR="00DC050B" w:rsidRPr="004F3D06" w:rsidRDefault="00DC050B" w:rsidP="00DC050B">
            <w:pPr>
              <w:spacing w:after="0" w:line="240" w:lineRule="auto"/>
              <w:ind w:left="-540" w:right="-540"/>
              <w:jc w:val="center"/>
              <w:rPr>
                <w:rFonts w:cs="Arial"/>
              </w:rPr>
            </w:pPr>
            <w:r>
              <w:rPr>
                <w:rFonts w:cs="Arial"/>
              </w:rPr>
              <w:t>0.03%</w:t>
            </w:r>
          </w:p>
        </w:tc>
      </w:tr>
      <w:tr w:rsidR="00DC050B" w:rsidRPr="006C715A" w14:paraId="4716EF5E" w14:textId="77777777" w:rsidTr="00977915">
        <w:trPr>
          <w:trHeight w:val="144"/>
          <w:jc w:val="center"/>
        </w:trPr>
        <w:tc>
          <w:tcPr>
            <w:tcW w:w="2312" w:type="dxa"/>
          </w:tcPr>
          <w:p w14:paraId="7AA48F40" w14:textId="5B17C40D" w:rsidR="00DC050B" w:rsidRPr="004F3D06" w:rsidRDefault="00DC050B" w:rsidP="00DC050B">
            <w:pPr>
              <w:spacing w:after="0" w:line="240" w:lineRule="auto"/>
              <w:ind w:left="-540" w:right="-540"/>
              <w:jc w:val="center"/>
              <w:rPr>
                <w:rFonts w:cs="Arial"/>
              </w:rPr>
            </w:pPr>
            <w:r>
              <w:rPr>
                <w:rFonts w:cs="Arial"/>
              </w:rPr>
              <w:t>2014</w:t>
            </w:r>
          </w:p>
        </w:tc>
        <w:tc>
          <w:tcPr>
            <w:tcW w:w="2415" w:type="dxa"/>
          </w:tcPr>
          <w:p w14:paraId="16188E47" w14:textId="39C9188A" w:rsidR="00DC050B" w:rsidRPr="004F3D06" w:rsidRDefault="00DC050B" w:rsidP="00DC050B">
            <w:pPr>
              <w:spacing w:after="0" w:line="240" w:lineRule="auto"/>
              <w:ind w:left="-540" w:right="-540"/>
              <w:jc w:val="center"/>
              <w:rPr>
                <w:rFonts w:cs="Arial"/>
              </w:rPr>
            </w:pPr>
            <w:r>
              <w:rPr>
                <w:rFonts w:cs="Arial"/>
              </w:rPr>
              <w:t>5.70%</w:t>
            </w:r>
          </w:p>
        </w:tc>
      </w:tr>
      <w:tr w:rsidR="00DC050B" w:rsidRPr="006C715A" w14:paraId="4B358BA0" w14:textId="77777777" w:rsidTr="00977915">
        <w:trPr>
          <w:trHeight w:val="144"/>
          <w:jc w:val="center"/>
        </w:trPr>
        <w:tc>
          <w:tcPr>
            <w:tcW w:w="2312" w:type="dxa"/>
          </w:tcPr>
          <w:p w14:paraId="55E9BE1E" w14:textId="72BF3C99" w:rsidR="00DC050B" w:rsidRPr="004F3D06" w:rsidRDefault="00DC050B" w:rsidP="00DC050B">
            <w:pPr>
              <w:spacing w:after="0" w:line="240" w:lineRule="auto"/>
              <w:ind w:left="-540" w:right="-540"/>
              <w:jc w:val="center"/>
              <w:rPr>
                <w:rFonts w:cs="Arial"/>
              </w:rPr>
            </w:pPr>
            <w:r>
              <w:rPr>
                <w:rFonts w:cs="Arial"/>
              </w:rPr>
              <w:t>2013</w:t>
            </w:r>
          </w:p>
        </w:tc>
        <w:tc>
          <w:tcPr>
            <w:tcW w:w="2415" w:type="dxa"/>
          </w:tcPr>
          <w:p w14:paraId="032F5DFE" w14:textId="2D84AAF3" w:rsidR="00DC050B" w:rsidRPr="004F3D06" w:rsidRDefault="00DC050B" w:rsidP="00DC050B">
            <w:pPr>
              <w:spacing w:after="0" w:line="240" w:lineRule="auto"/>
              <w:ind w:left="-540" w:right="-540"/>
              <w:jc w:val="center"/>
              <w:rPr>
                <w:rFonts w:cs="Arial"/>
              </w:rPr>
            </w:pPr>
            <w:r>
              <w:rPr>
                <w:rFonts w:cs="Arial"/>
              </w:rPr>
              <w:t>17.30%</w:t>
            </w:r>
          </w:p>
        </w:tc>
      </w:tr>
    </w:tbl>
    <w:p w14:paraId="603A555D" w14:textId="77777777" w:rsidR="00A65F04" w:rsidRPr="000250E6" w:rsidRDefault="00A65F04" w:rsidP="0032626B">
      <w:pPr>
        <w:spacing w:after="120" w:line="240" w:lineRule="auto"/>
        <w:ind w:left="-540" w:right="-540"/>
        <w:rPr>
          <w:rFonts w:cs="Arial"/>
          <w:sz w:val="8"/>
          <w:szCs w:val="8"/>
        </w:rPr>
      </w:pPr>
    </w:p>
    <w:p w14:paraId="38E9B245" w14:textId="6E54E73E" w:rsidR="00FB670E" w:rsidRDefault="00FD561C" w:rsidP="0032626B">
      <w:pPr>
        <w:spacing w:line="240" w:lineRule="auto"/>
        <w:ind w:left="-540" w:right="-180"/>
        <w:rPr>
          <w:rFonts w:cs="Arial"/>
          <w:noProof/>
          <w:sz w:val="24"/>
          <w:szCs w:val="24"/>
        </w:rPr>
      </w:pPr>
      <w:r w:rsidRPr="00FD561C"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2D7AAD4" wp14:editId="06C17DA2">
            <wp:simplePos x="0" y="0"/>
            <wp:positionH relativeFrom="page">
              <wp:posOffset>5273087</wp:posOffset>
            </wp:positionH>
            <wp:positionV relativeFrom="page">
              <wp:posOffset>9220288</wp:posOffset>
            </wp:positionV>
            <wp:extent cx="1337264" cy="418290"/>
            <wp:effectExtent l="0" t="0" r="0" b="1270"/>
            <wp:wrapTight wrapText="bothSides">
              <wp:wrapPolygon edited="0">
                <wp:start x="0" y="0"/>
                <wp:lineTo x="0" y="20681"/>
                <wp:lineTo x="21241" y="20681"/>
                <wp:lineTo x="21241" y="0"/>
                <wp:lineTo x="0" y="0"/>
              </wp:wrapPolygon>
            </wp:wrapTight>
            <wp:docPr id="1" name="Picture 1" descr="C:\Users\Volunteer\Desktop\CFSC_logo_2-color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unteer\Desktop\CFSC_logo_2-color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57" cy="43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F04" w:rsidRPr="006C715A">
        <w:rPr>
          <w:rFonts w:cs="Arial"/>
          <w:sz w:val="24"/>
          <w:szCs w:val="24"/>
        </w:rPr>
        <w:t>Ha</w:t>
      </w:r>
      <w:r w:rsidR="0023654E">
        <w:rPr>
          <w:rFonts w:cs="Arial"/>
          <w:sz w:val="24"/>
          <w:szCs w:val="24"/>
        </w:rPr>
        <w:t xml:space="preserve">rbour Investment Management and UBS </w:t>
      </w:r>
      <w:r w:rsidR="00A65F04" w:rsidRPr="006C715A">
        <w:rPr>
          <w:rFonts w:cs="Arial"/>
          <w:sz w:val="24"/>
          <w:szCs w:val="24"/>
        </w:rPr>
        <w:t>function as our investment consultants to provide oversight, guid</w:t>
      </w:r>
      <w:r w:rsidR="00A65F04">
        <w:rPr>
          <w:rFonts w:cs="Arial"/>
          <w:sz w:val="24"/>
          <w:szCs w:val="24"/>
        </w:rPr>
        <w:t xml:space="preserve">ance, </w:t>
      </w:r>
      <w:proofErr w:type="gramStart"/>
      <w:r w:rsidR="00A65F04">
        <w:rPr>
          <w:rFonts w:cs="Arial"/>
          <w:sz w:val="24"/>
          <w:szCs w:val="24"/>
        </w:rPr>
        <w:t>design</w:t>
      </w:r>
      <w:proofErr w:type="gramEnd"/>
      <w:r w:rsidR="00A65F04">
        <w:rPr>
          <w:rFonts w:cs="Arial"/>
          <w:sz w:val="24"/>
          <w:szCs w:val="24"/>
        </w:rPr>
        <w:t xml:space="preserve"> and implementation </w:t>
      </w:r>
      <w:r w:rsidR="00A65F04" w:rsidRPr="006C715A">
        <w:rPr>
          <w:rFonts w:cs="Arial"/>
          <w:sz w:val="24"/>
          <w:szCs w:val="24"/>
        </w:rPr>
        <w:t>of the Community Foundation</w:t>
      </w:r>
      <w:r w:rsidR="00A65F04">
        <w:rPr>
          <w:rFonts w:cs="Arial"/>
          <w:sz w:val="24"/>
          <w:szCs w:val="24"/>
        </w:rPr>
        <w:t>’s</w:t>
      </w:r>
      <w:r w:rsidR="00A65F04" w:rsidRPr="006C715A">
        <w:rPr>
          <w:rFonts w:cs="Arial"/>
          <w:sz w:val="24"/>
          <w:szCs w:val="24"/>
        </w:rPr>
        <w:t xml:space="preserve"> portfolio.</w:t>
      </w:r>
      <w:r w:rsidR="00A65F04">
        <w:rPr>
          <w:rFonts w:cs="Arial"/>
          <w:sz w:val="24"/>
          <w:szCs w:val="24"/>
        </w:rPr>
        <w:t xml:space="preserve"> </w:t>
      </w:r>
      <w:r w:rsidR="00A65F04" w:rsidRPr="00FF46D1">
        <w:rPr>
          <w:rFonts w:eastAsia="Adobe Caslon Pro" w:cs="Adobe Caslon Pro"/>
          <w:color w:val="000000" w:themeColor="text1"/>
          <w:sz w:val="24"/>
          <w:szCs w:val="24"/>
        </w:rPr>
        <w:t xml:space="preserve">Our </w:t>
      </w:r>
      <w:r w:rsidR="00E16B2A">
        <w:rPr>
          <w:rFonts w:eastAsia="Adobe Caslon Pro" w:cs="Adobe Caslon Pro"/>
          <w:color w:val="000000" w:themeColor="text1"/>
          <w:sz w:val="24"/>
          <w:szCs w:val="24"/>
        </w:rPr>
        <w:t>Investment</w:t>
      </w:r>
      <w:r w:rsidR="00A65F04" w:rsidRPr="00FF46D1">
        <w:rPr>
          <w:rFonts w:eastAsia="Adobe Caslon Pro" w:cs="Adobe Caslon Pro"/>
          <w:color w:val="000000" w:themeColor="text1"/>
          <w:sz w:val="24"/>
          <w:szCs w:val="24"/>
        </w:rPr>
        <w:t xml:space="preserve"> Committee meets with investment managers quarterly and compares the investments to the benchmark for that asset class. </w:t>
      </w:r>
      <w:r w:rsidR="00A65F04" w:rsidRPr="00FF46D1">
        <w:rPr>
          <w:rFonts w:cs="Arial"/>
          <w:color w:val="000000" w:themeColor="text1"/>
          <w:sz w:val="24"/>
          <w:szCs w:val="24"/>
        </w:rPr>
        <w:t xml:space="preserve">The </w:t>
      </w:r>
      <w:r w:rsidR="00A65F04" w:rsidRPr="006C715A">
        <w:rPr>
          <w:rFonts w:cs="Arial"/>
          <w:sz w:val="24"/>
          <w:szCs w:val="24"/>
        </w:rPr>
        <w:t>Foundation also utilizes local banks for certificates of deposit when appropriate.</w:t>
      </w:r>
      <w:r w:rsidRPr="00FD561C">
        <w:rPr>
          <w:rFonts w:cs="Arial"/>
          <w:b/>
          <w:noProof/>
          <w:sz w:val="24"/>
          <w:szCs w:val="24"/>
        </w:rPr>
        <w:t xml:space="preserve"> </w:t>
      </w:r>
      <w:r w:rsidR="000250E6">
        <w:rPr>
          <w:rFonts w:cs="Arial"/>
          <w:b/>
          <w:noProof/>
          <w:sz w:val="24"/>
          <w:szCs w:val="24"/>
        </w:rPr>
        <w:t xml:space="preserve"> </w:t>
      </w:r>
      <w:r w:rsidR="000250E6" w:rsidRPr="000250E6">
        <w:rPr>
          <w:rFonts w:cs="Arial"/>
          <w:noProof/>
          <w:sz w:val="24"/>
          <w:szCs w:val="24"/>
        </w:rPr>
        <w:t>As with all investments there is a risk that the fund may decline in value due to negative investment returns.  Past investment results are not a guarantee of future performance.</w:t>
      </w:r>
    </w:p>
    <w:p w14:paraId="7868C09A" w14:textId="77777777" w:rsidR="002E13CF" w:rsidRDefault="00C22BFD" w:rsidP="0032626B">
      <w:pPr>
        <w:spacing w:line="240" w:lineRule="auto"/>
        <w:ind w:left="-540" w:right="-180"/>
      </w:pPr>
      <w:r>
        <w:t>The Community Foundation of Snohomish County does not endorse specific investment advisors or guarantee performance.</w:t>
      </w:r>
    </w:p>
    <w:p w14:paraId="65B1D558" w14:textId="77777777" w:rsidR="002E13CF" w:rsidRPr="002E13CF" w:rsidRDefault="002E13CF" w:rsidP="002E13CF"/>
    <w:p w14:paraId="7252857B" w14:textId="77777777" w:rsidR="00C22BFD" w:rsidRPr="002E13CF" w:rsidRDefault="00C22BFD" w:rsidP="00284AE5">
      <w:pPr>
        <w:ind w:firstLine="720"/>
      </w:pPr>
    </w:p>
    <w:sectPr w:rsidR="00C22BFD" w:rsidRPr="002E13CF" w:rsidSect="005F1784">
      <w:headerReference w:type="default" r:id="rId11"/>
      <w:footerReference w:type="default" r:id="rId12"/>
      <w:pgSz w:w="12240" w:h="15840"/>
      <w:pgMar w:top="0" w:right="1440" w:bottom="45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2DD5C" w14:textId="77777777" w:rsidR="0056770E" w:rsidRDefault="0056770E" w:rsidP="00EB30D3">
      <w:pPr>
        <w:spacing w:after="0" w:line="240" w:lineRule="auto"/>
      </w:pPr>
      <w:r>
        <w:separator/>
      </w:r>
    </w:p>
  </w:endnote>
  <w:endnote w:type="continuationSeparator" w:id="0">
    <w:p w14:paraId="4782BD42" w14:textId="77777777" w:rsidR="0056770E" w:rsidRDefault="0056770E" w:rsidP="00EB3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Quaver Sans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229B" w14:textId="2DC5DE76" w:rsidR="0032626B" w:rsidRPr="00B447D7" w:rsidRDefault="00416EDE" w:rsidP="0032626B">
    <w:pPr>
      <w:pStyle w:val="Footer"/>
      <w:ind w:left="-540"/>
      <w:rPr>
        <w:sz w:val="20"/>
        <w:szCs w:val="20"/>
      </w:rPr>
    </w:pPr>
    <w:r>
      <w:rPr>
        <w:sz w:val="20"/>
        <w:szCs w:val="20"/>
      </w:rPr>
      <w:t>February 14</w:t>
    </w:r>
    <w:r w:rsidR="00E474CC">
      <w:rPr>
        <w:sz w:val="20"/>
        <w:szCs w:val="20"/>
      </w:rPr>
      <w:t xml:space="preserve">, </w:t>
    </w:r>
    <w:r w:rsidR="00284AE5">
      <w:rPr>
        <w:sz w:val="20"/>
        <w:szCs w:val="20"/>
      </w:rPr>
      <w:t>202</w:t>
    </w:r>
    <w:r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39C84" w14:textId="77777777" w:rsidR="0056770E" w:rsidRDefault="0056770E" w:rsidP="00EB30D3">
      <w:pPr>
        <w:spacing w:after="0" w:line="240" w:lineRule="auto"/>
      </w:pPr>
      <w:r>
        <w:separator/>
      </w:r>
    </w:p>
  </w:footnote>
  <w:footnote w:type="continuationSeparator" w:id="0">
    <w:p w14:paraId="5955DC2E" w14:textId="77777777" w:rsidR="0056770E" w:rsidRDefault="0056770E" w:rsidP="00EB3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FE93" w14:textId="77777777" w:rsidR="00EB30D3" w:rsidRDefault="00907F7B" w:rsidP="00EB30D3">
    <w:pPr>
      <w:pStyle w:val="Header"/>
      <w:ind w:left="-108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CB51FC" wp14:editId="50151B52">
              <wp:simplePos x="0" y="0"/>
              <wp:positionH relativeFrom="column">
                <wp:posOffset>1743075</wp:posOffset>
              </wp:positionH>
              <wp:positionV relativeFrom="paragraph">
                <wp:posOffset>381000</wp:posOffset>
              </wp:positionV>
              <wp:extent cx="4876800" cy="100012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76800" cy="1000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AB955B" w14:textId="77777777" w:rsidR="00A65F04" w:rsidRPr="008F54E7" w:rsidRDefault="00A65F04" w:rsidP="0020283A">
                          <w:pPr>
                            <w:jc w:val="center"/>
                            <w:rPr>
                              <w:rFonts w:ascii="Quaver Sans" w:hAnsi="Quaver Sans"/>
                              <w:color w:val="FFFFFF" w:themeColor="background1"/>
                              <w:sz w:val="88"/>
                              <w:szCs w:val="88"/>
                            </w:rPr>
                          </w:pPr>
                          <w:r w:rsidRPr="008F54E7">
                            <w:rPr>
                              <w:rFonts w:ascii="Quaver Sans" w:hAnsi="Quaver Sans"/>
                              <w:color w:val="FFFFFF" w:themeColor="background1"/>
                              <w:sz w:val="88"/>
                              <w:szCs w:val="88"/>
                            </w:rPr>
                            <w:t>I</w:t>
                          </w:r>
                          <w:r w:rsidRPr="00ED1EDD">
                            <w:rPr>
                              <w:rFonts w:ascii="Quaver Sans" w:hAnsi="Quaver Sans"/>
                              <w:color w:val="FFFFFF" w:themeColor="background1"/>
                              <w:sz w:val="72"/>
                              <w:szCs w:val="72"/>
                            </w:rPr>
                            <w:t>nvestment</w:t>
                          </w:r>
                          <w:r w:rsidRPr="008F54E7">
                            <w:rPr>
                              <w:rFonts w:ascii="Quaver Sans" w:hAnsi="Quaver Sans"/>
                              <w:color w:val="FFFFFF" w:themeColor="background1"/>
                              <w:sz w:val="88"/>
                              <w:szCs w:val="88"/>
                            </w:rPr>
                            <w:t xml:space="preserve"> </w:t>
                          </w:r>
                          <w:r w:rsidR="00ED1EDD">
                            <w:rPr>
                              <w:rFonts w:ascii="Quaver Sans" w:hAnsi="Quaver Sans"/>
                              <w:color w:val="FFFFFF" w:themeColor="background1"/>
                              <w:sz w:val="88"/>
                              <w:szCs w:val="88"/>
                            </w:rPr>
                            <w:t>O</w:t>
                          </w:r>
                          <w:r w:rsidRPr="00ED1EDD">
                            <w:rPr>
                              <w:rFonts w:ascii="Quaver Sans" w:hAnsi="Quaver Sans"/>
                              <w:color w:val="FFFFFF" w:themeColor="background1"/>
                              <w:sz w:val="72"/>
                              <w:szCs w:val="72"/>
                            </w:rPr>
                            <w:t>bjectives</w:t>
                          </w:r>
                        </w:p>
                        <w:p w14:paraId="188DBFEB" w14:textId="77777777" w:rsidR="00EB30D3" w:rsidRPr="00EB30D3" w:rsidRDefault="00EB30D3" w:rsidP="00EB30D3">
                          <w:pPr>
                            <w:jc w:val="center"/>
                            <w:rPr>
                              <w:rFonts w:ascii="Quaver Sans" w:hAnsi="Quaver Sans"/>
                              <w:color w:val="FFFFFF" w:themeColor="background1"/>
                              <w:sz w:val="100"/>
                              <w:szCs w:val="1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B51F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7.25pt;margin-top:30pt;width:384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" filled="f" stroked="f" strokeweight="2pt">
              <v:textbox>
                <w:txbxContent>
                  <w:p w14:paraId="73AB955B" w14:textId="77777777" w:rsidR="00A65F04" w:rsidRPr="008F54E7" w:rsidRDefault="00A65F04" w:rsidP="0020283A">
                    <w:pPr>
                      <w:jc w:val="center"/>
                      <w:rPr>
                        <w:rFonts w:ascii="Quaver Sans" w:hAnsi="Quaver Sans"/>
                        <w:color w:val="FFFFFF" w:themeColor="background1"/>
                        <w:sz w:val="88"/>
                        <w:szCs w:val="88"/>
                      </w:rPr>
                    </w:pPr>
                    <w:r w:rsidRPr="008F54E7">
                      <w:rPr>
                        <w:rFonts w:ascii="Quaver Sans" w:hAnsi="Quaver Sans"/>
                        <w:color w:val="FFFFFF" w:themeColor="background1"/>
                        <w:sz w:val="88"/>
                        <w:szCs w:val="88"/>
                      </w:rPr>
                      <w:t>I</w:t>
                    </w:r>
                    <w:r w:rsidRPr="00ED1EDD">
                      <w:rPr>
                        <w:rFonts w:ascii="Quaver Sans" w:hAnsi="Quaver Sans"/>
                        <w:color w:val="FFFFFF" w:themeColor="background1"/>
                        <w:sz w:val="72"/>
                        <w:szCs w:val="72"/>
                      </w:rPr>
                      <w:t>nvestment</w:t>
                    </w:r>
                    <w:r w:rsidRPr="008F54E7">
                      <w:rPr>
                        <w:rFonts w:ascii="Quaver Sans" w:hAnsi="Quaver Sans"/>
                        <w:color w:val="FFFFFF" w:themeColor="background1"/>
                        <w:sz w:val="88"/>
                        <w:szCs w:val="88"/>
                      </w:rPr>
                      <w:t xml:space="preserve"> </w:t>
                    </w:r>
                    <w:r w:rsidR="00ED1EDD">
                      <w:rPr>
                        <w:rFonts w:ascii="Quaver Sans" w:hAnsi="Quaver Sans"/>
                        <w:color w:val="FFFFFF" w:themeColor="background1"/>
                        <w:sz w:val="88"/>
                        <w:szCs w:val="88"/>
                      </w:rPr>
                      <w:t>O</w:t>
                    </w:r>
                    <w:r w:rsidRPr="00ED1EDD">
                      <w:rPr>
                        <w:rFonts w:ascii="Quaver Sans" w:hAnsi="Quaver Sans"/>
                        <w:color w:val="FFFFFF" w:themeColor="background1"/>
                        <w:sz w:val="72"/>
                        <w:szCs w:val="72"/>
                      </w:rPr>
                      <w:t>bjectives</w:t>
                    </w:r>
                  </w:p>
                  <w:p w14:paraId="188DBFEB" w14:textId="77777777" w:rsidR="00EB30D3" w:rsidRPr="00EB30D3" w:rsidRDefault="00EB30D3" w:rsidP="00EB30D3">
                    <w:pPr>
                      <w:jc w:val="center"/>
                      <w:rPr>
                        <w:rFonts w:ascii="Quaver Sans" w:hAnsi="Quaver Sans"/>
                        <w:color w:val="FFFFFF" w:themeColor="background1"/>
                        <w:sz w:val="100"/>
                        <w:szCs w:val="100"/>
                      </w:rPr>
                    </w:pPr>
                  </w:p>
                </w:txbxContent>
              </v:textbox>
            </v:shape>
          </w:pict>
        </mc:Fallback>
      </mc:AlternateContent>
    </w:r>
    <w:r w:rsidR="00733828">
      <w:rPr>
        <w:noProof/>
      </w:rPr>
      <w:drawing>
        <wp:inline distT="0" distB="0" distL="0" distR="0" wp14:anchorId="54C5EC68" wp14:editId="480B46E5">
          <wp:extent cx="7315200" cy="1653735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s Clipboa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653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3316C3" w14:textId="77777777" w:rsidR="00EB30D3" w:rsidRDefault="00EB30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0D3"/>
    <w:rsid w:val="000250E6"/>
    <w:rsid w:val="00057B3D"/>
    <w:rsid w:val="00063E63"/>
    <w:rsid w:val="000847D9"/>
    <w:rsid w:val="0008515E"/>
    <w:rsid w:val="000A7B6F"/>
    <w:rsid w:val="000B62C7"/>
    <w:rsid w:val="00101AB9"/>
    <w:rsid w:val="0014288C"/>
    <w:rsid w:val="00144018"/>
    <w:rsid w:val="00155851"/>
    <w:rsid w:val="001761CA"/>
    <w:rsid w:val="001A2F4E"/>
    <w:rsid w:val="0020283A"/>
    <w:rsid w:val="00211AA4"/>
    <w:rsid w:val="00213769"/>
    <w:rsid w:val="00214A16"/>
    <w:rsid w:val="002162AC"/>
    <w:rsid w:val="00230992"/>
    <w:rsid w:val="0023387D"/>
    <w:rsid w:val="002350CF"/>
    <w:rsid w:val="0023654E"/>
    <w:rsid w:val="002621B4"/>
    <w:rsid w:val="00284AE5"/>
    <w:rsid w:val="002D3B92"/>
    <w:rsid w:val="002E13CF"/>
    <w:rsid w:val="0032626B"/>
    <w:rsid w:val="0035340C"/>
    <w:rsid w:val="003605AF"/>
    <w:rsid w:val="00361498"/>
    <w:rsid w:val="003A020C"/>
    <w:rsid w:val="003E0C04"/>
    <w:rsid w:val="003E5523"/>
    <w:rsid w:val="003E6CFA"/>
    <w:rsid w:val="00416EDE"/>
    <w:rsid w:val="004357DA"/>
    <w:rsid w:val="00450C8D"/>
    <w:rsid w:val="004B4F58"/>
    <w:rsid w:val="004B5B95"/>
    <w:rsid w:val="004E5EC9"/>
    <w:rsid w:val="00540073"/>
    <w:rsid w:val="00544701"/>
    <w:rsid w:val="0056193C"/>
    <w:rsid w:val="00565688"/>
    <w:rsid w:val="0056770E"/>
    <w:rsid w:val="00583FBE"/>
    <w:rsid w:val="00592D86"/>
    <w:rsid w:val="005976F0"/>
    <w:rsid w:val="005A25DA"/>
    <w:rsid w:val="005A6C3E"/>
    <w:rsid w:val="005B13FE"/>
    <w:rsid w:val="005B1582"/>
    <w:rsid w:val="005D3529"/>
    <w:rsid w:val="005E05B3"/>
    <w:rsid w:val="005F1784"/>
    <w:rsid w:val="00605561"/>
    <w:rsid w:val="00640CD7"/>
    <w:rsid w:val="00655EA5"/>
    <w:rsid w:val="006568F3"/>
    <w:rsid w:val="0065697D"/>
    <w:rsid w:val="006827BA"/>
    <w:rsid w:val="006C632B"/>
    <w:rsid w:val="006C67DD"/>
    <w:rsid w:val="006F0383"/>
    <w:rsid w:val="006F1FE6"/>
    <w:rsid w:val="006F7D11"/>
    <w:rsid w:val="00733828"/>
    <w:rsid w:val="007F46E7"/>
    <w:rsid w:val="00823E92"/>
    <w:rsid w:val="00826A77"/>
    <w:rsid w:val="008301E1"/>
    <w:rsid w:val="008413DA"/>
    <w:rsid w:val="008532F7"/>
    <w:rsid w:val="008560BE"/>
    <w:rsid w:val="00887F98"/>
    <w:rsid w:val="008C34E5"/>
    <w:rsid w:val="008F2097"/>
    <w:rsid w:val="008F30D0"/>
    <w:rsid w:val="00907F7B"/>
    <w:rsid w:val="00926335"/>
    <w:rsid w:val="00941641"/>
    <w:rsid w:val="00954A7F"/>
    <w:rsid w:val="00991222"/>
    <w:rsid w:val="009913F8"/>
    <w:rsid w:val="009926D7"/>
    <w:rsid w:val="009E0860"/>
    <w:rsid w:val="009E6B8D"/>
    <w:rsid w:val="009F0C20"/>
    <w:rsid w:val="00A01BA8"/>
    <w:rsid w:val="00A2328E"/>
    <w:rsid w:val="00A3003F"/>
    <w:rsid w:val="00A31277"/>
    <w:rsid w:val="00A34C5A"/>
    <w:rsid w:val="00A423F1"/>
    <w:rsid w:val="00A449FB"/>
    <w:rsid w:val="00A527D4"/>
    <w:rsid w:val="00A56F61"/>
    <w:rsid w:val="00A57899"/>
    <w:rsid w:val="00A65F04"/>
    <w:rsid w:val="00A9079B"/>
    <w:rsid w:val="00AA1A69"/>
    <w:rsid w:val="00AB2068"/>
    <w:rsid w:val="00AC5C3A"/>
    <w:rsid w:val="00AF2214"/>
    <w:rsid w:val="00B0750B"/>
    <w:rsid w:val="00B31739"/>
    <w:rsid w:val="00B447D7"/>
    <w:rsid w:val="00B50F12"/>
    <w:rsid w:val="00B625DB"/>
    <w:rsid w:val="00B65989"/>
    <w:rsid w:val="00B67E12"/>
    <w:rsid w:val="00B700AD"/>
    <w:rsid w:val="00C22BFD"/>
    <w:rsid w:val="00C57F7D"/>
    <w:rsid w:val="00CD1AA1"/>
    <w:rsid w:val="00D015C7"/>
    <w:rsid w:val="00D05362"/>
    <w:rsid w:val="00D51584"/>
    <w:rsid w:val="00D640C0"/>
    <w:rsid w:val="00DA1EEB"/>
    <w:rsid w:val="00DC050B"/>
    <w:rsid w:val="00DC5683"/>
    <w:rsid w:val="00DD7960"/>
    <w:rsid w:val="00DF36E3"/>
    <w:rsid w:val="00E16125"/>
    <w:rsid w:val="00E16B2A"/>
    <w:rsid w:val="00E474CC"/>
    <w:rsid w:val="00E67560"/>
    <w:rsid w:val="00E7717C"/>
    <w:rsid w:val="00EA0B33"/>
    <w:rsid w:val="00EB30D3"/>
    <w:rsid w:val="00EC2815"/>
    <w:rsid w:val="00ED1EDD"/>
    <w:rsid w:val="00ED41A9"/>
    <w:rsid w:val="00EF5B95"/>
    <w:rsid w:val="00F15A79"/>
    <w:rsid w:val="00F81D49"/>
    <w:rsid w:val="00FA5191"/>
    <w:rsid w:val="00FB670E"/>
    <w:rsid w:val="00FD2030"/>
    <w:rsid w:val="00FD561C"/>
    <w:rsid w:val="00FE4D94"/>
    <w:rsid w:val="00FE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C40333"/>
  <w15:docId w15:val="{49DA09B9-F210-4042-90D6-994746BA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F04"/>
  </w:style>
  <w:style w:type="paragraph" w:styleId="Heading1">
    <w:name w:val="heading 1"/>
    <w:basedOn w:val="Normal"/>
    <w:next w:val="Normal"/>
    <w:link w:val="Heading1Char"/>
    <w:uiPriority w:val="9"/>
    <w:qFormat/>
    <w:rsid w:val="00EB30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0D3"/>
  </w:style>
  <w:style w:type="paragraph" w:styleId="Footer">
    <w:name w:val="footer"/>
    <w:basedOn w:val="Normal"/>
    <w:link w:val="FooterChar"/>
    <w:uiPriority w:val="99"/>
    <w:unhideWhenUsed/>
    <w:rsid w:val="00EB3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0D3"/>
  </w:style>
  <w:style w:type="paragraph" w:styleId="BalloonText">
    <w:name w:val="Balloon Text"/>
    <w:basedOn w:val="Normal"/>
    <w:link w:val="BalloonTextChar"/>
    <w:uiPriority w:val="99"/>
    <w:semiHidden/>
    <w:unhideWhenUsed/>
    <w:rsid w:val="00EB3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0D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3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B1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5d0e0f-05b3-424d-b051-aa4e1f2f29ae" xsi:nil="true"/>
    <lcf76f155ced4ddcb4097134ff3c332f xmlns="53d240de-a953-468e-82e9-e5ce4d8f7050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C4B543E3AB65488C96D95C7EE1302F" ma:contentTypeVersion="18" ma:contentTypeDescription="Create a new document." ma:contentTypeScope="" ma:versionID="4e065e43c427a55c1534a83c0400b0e1">
  <xsd:schema xmlns:xsd="http://www.w3.org/2001/XMLSchema" xmlns:xs="http://www.w3.org/2001/XMLSchema" xmlns:p="http://schemas.microsoft.com/office/2006/metadata/properties" xmlns:ns2="4e54f0bf-0a76-478b-abbf-4f3ea85a7b75" xmlns:ns3="53d240de-a953-468e-82e9-e5ce4d8f7050" xmlns:ns4="6a5d0e0f-05b3-424d-b051-aa4e1f2f29ae" targetNamespace="http://schemas.microsoft.com/office/2006/metadata/properties" ma:root="true" ma:fieldsID="f1afcbbfd79fb6ca79f628f673daab1a" ns2:_="" ns3:_="" ns4:_="">
    <xsd:import namespace="4e54f0bf-0a76-478b-abbf-4f3ea85a7b75"/>
    <xsd:import namespace="53d240de-a953-468e-82e9-e5ce4d8f7050"/>
    <xsd:import namespace="6a5d0e0f-05b3-424d-b051-aa4e1f2f29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4f0bf-0a76-478b-abbf-4f3ea85a7b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d240de-a953-468e-82e9-e5ce4d8f7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b511e6-ef5a-49a1-8fb3-36564d3d5d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d0e0f-05b3-424d-b051-aa4e1f2f29a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5744801-c8d7-4d29-afc5-7820c41bb240}" ma:internalName="TaxCatchAll" ma:showField="CatchAllData" ma:web="6a5d0e0f-05b3-424d-b051-aa4e1f2f29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0B751D-A095-4196-9EA8-B6DA19C107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89E95F-B364-4C8C-954D-41BCD117AC3B}">
  <ds:schemaRefs>
    <ds:schemaRef ds:uri="4e54f0bf-0a76-478b-abbf-4f3ea85a7b75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infopath/2007/PartnerControls"/>
    <ds:schemaRef ds:uri="6a5d0e0f-05b3-424d-b051-aa4e1f2f29ae"/>
    <ds:schemaRef ds:uri="53d240de-a953-468e-82e9-e5ce4d8f7050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08CE64B-0CFC-48C8-865D-6D8AF596AA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4597C1-F101-4CD4-966A-C9B7FF87F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54f0bf-0a76-478b-abbf-4f3ea85a7b75"/>
    <ds:schemaRef ds:uri="53d240de-a953-468e-82e9-e5ce4d8f7050"/>
    <ds:schemaRef ds:uri="6a5d0e0f-05b3-424d-b051-aa4e1f2f2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LRW</dc:creator>
  <cp:lastModifiedBy>Karri Matau</cp:lastModifiedBy>
  <cp:revision>2</cp:revision>
  <cp:lastPrinted>2023-02-14T19:09:00Z</cp:lastPrinted>
  <dcterms:created xsi:type="dcterms:W3CDTF">2023-02-14T19:09:00Z</dcterms:created>
  <dcterms:modified xsi:type="dcterms:W3CDTF">2023-02-14T19:09:00Z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0x0101006FC4B543E3AB65488C96D95C7EE1302F</vt:lpwstr>
  </property>
  <property fmtid="{D5CDD505-2E9C-101B-9397-08002B2CF9AE}" pid="3" name="AuthorIds_UIVersion_512">
    <vt:lpwstr>19</vt:lpwstr>
  </property>
  <property fmtid="{D5CDD505-2E9C-101B-9397-08002B2CF9AE}" pid="4" name="MediaServiceImageTags">
    <vt:lpwstr/>
  </property>
</Properties>
</file>